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EBBA" w14:textId="77777777" w:rsidR="00112580" w:rsidRPr="001A4BF0" w:rsidRDefault="00112580" w:rsidP="009A1A2B">
      <w:pPr>
        <w:spacing w:after="120" w:line="240" w:lineRule="auto"/>
        <w:ind w:left="720" w:hanging="720"/>
        <w:jc w:val="center"/>
        <w:rPr>
          <w:b/>
          <w:sz w:val="24"/>
          <w:szCs w:val="24"/>
        </w:rPr>
      </w:pPr>
      <w:bookmarkStart w:id="0" w:name="_GoBack"/>
      <w:bookmarkEnd w:id="0"/>
      <w:r w:rsidRPr="001A4BF0">
        <w:rPr>
          <w:b/>
          <w:sz w:val="24"/>
          <w:szCs w:val="24"/>
        </w:rPr>
        <w:t>Colloquium of the Henry Sweet Society</w:t>
      </w:r>
    </w:p>
    <w:p w14:paraId="33A2FCC3" w14:textId="77777777" w:rsidR="00112580" w:rsidRPr="001A4BF0" w:rsidRDefault="00112580" w:rsidP="009A1A2B">
      <w:pPr>
        <w:spacing w:after="120" w:line="240" w:lineRule="auto"/>
        <w:ind w:left="720" w:hanging="720"/>
        <w:jc w:val="center"/>
        <w:rPr>
          <w:b/>
          <w:sz w:val="24"/>
          <w:szCs w:val="24"/>
        </w:rPr>
      </w:pPr>
      <w:r w:rsidRPr="001A4BF0">
        <w:rPr>
          <w:b/>
          <w:sz w:val="24"/>
          <w:szCs w:val="24"/>
        </w:rPr>
        <w:t>University of Westminster</w:t>
      </w:r>
    </w:p>
    <w:p w14:paraId="0EC7958A" w14:textId="77777777" w:rsidR="00112580" w:rsidRPr="001A4BF0" w:rsidRDefault="00112580" w:rsidP="009A1A2B">
      <w:pPr>
        <w:spacing w:after="120" w:line="240" w:lineRule="auto"/>
        <w:ind w:left="720" w:hanging="720"/>
        <w:jc w:val="center"/>
        <w:rPr>
          <w:sz w:val="24"/>
          <w:szCs w:val="24"/>
        </w:rPr>
      </w:pPr>
      <w:r w:rsidRPr="001A4BF0">
        <w:rPr>
          <w:sz w:val="24"/>
          <w:szCs w:val="24"/>
        </w:rPr>
        <w:t>115 New Cavendish Street, London W1W 6UW</w:t>
      </w:r>
    </w:p>
    <w:p w14:paraId="19C09AAA" w14:textId="77777777" w:rsidR="00112580" w:rsidRPr="001A4BF0" w:rsidRDefault="00112580" w:rsidP="009A1A2B">
      <w:pPr>
        <w:spacing w:after="120" w:line="240" w:lineRule="auto"/>
        <w:ind w:left="720" w:hanging="720"/>
        <w:jc w:val="center"/>
        <w:rPr>
          <w:sz w:val="24"/>
          <w:szCs w:val="24"/>
        </w:rPr>
      </w:pPr>
      <w:r w:rsidRPr="001A4BF0">
        <w:rPr>
          <w:sz w:val="24"/>
          <w:szCs w:val="24"/>
        </w:rPr>
        <w:t>30 April 2020</w:t>
      </w:r>
    </w:p>
    <w:p w14:paraId="0CFA22D5" w14:textId="77777777" w:rsidR="00112580" w:rsidRPr="00112580" w:rsidRDefault="00112580" w:rsidP="009A1A2B">
      <w:pPr>
        <w:spacing w:after="120" w:line="240" w:lineRule="auto"/>
        <w:ind w:left="720" w:hanging="720"/>
        <w:jc w:val="center"/>
      </w:pPr>
    </w:p>
    <w:p w14:paraId="73170C42" w14:textId="77777777" w:rsidR="00A306AA" w:rsidRPr="00400AEF" w:rsidRDefault="00147402" w:rsidP="009A1A2B">
      <w:pPr>
        <w:spacing w:after="120" w:line="240" w:lineRule="auto"/>
        <w:ind w:left="720" w:hanging="720"/>
        <w:jc w:val="center"/>
        <w:rPr>
          <w:lang w:val="nn-NO"/>
        </w:rPr>
      </w:pPr>
      <w:r w:rsidRPr="00400AEF">
        <w:rPr>
          <w:lang w:val="nn-NO"/>
        </w:rPr>
        <w:t>09</w:t>
      </w:r>
      <w:r w:rsidR="00EA0D14" w:rsidRPr="00400AEF">
        <w:rPr>
          <w:lang w:val="nn-NO"/>
        </w:rPr>
        <w:t>3</w:t>
      </w:r>
      <w:r w:rsidRPr="00400AEF">
        <w:rPr>
          <w:lang w:val="nn-NO"/>
        </w:rPr>
        <w:t>0</w:t>
      </w:r>
      <w:r w:rsidRPr="00400AEF">
        <w:rPr>
          <w:lang w:val="nn-NO"/>
        </w:rPr>
        <w:tab/>
        <w:t>Welcome</w:t>
      </w:r>
    </w:p>
    <w:p w14:paraId="563E39BC" w14:textId="77777777" w:rsidR="00727112" w:rsidRPr="00400AEF" w:rsidRDefault="00EA0D14" w:rsidP="00400AEF">
      <w:pPr>
        <w:spacing w:after="120" w:line="240" w:lineRule="auto"/>
        <w:ind w:left="720" w:hanging="720"/>
        <w:rPr>
          <w:lang w:val="en-US"/>
        </w:rPr>
      </w:pPr>
      <w:r w:rsidRPr="00400AEF">
        <w:t>0945</w:t>
      </w:r>
      <w:r w:rsidR="00DD5F37" w:rsidRPr="00400AEF">
        <w:tab/>
      </w:r>
      <w:r w:rsidR="00727112" w:rsidRPr="00400AEF">
        <w:rPr>
          <w:b/>
          <w:lang w:val="de-AT"/>
        </w:rPr>
        <w:t xml:space="preserve">A Jesuit Grammar in the Anglican London </w:t>
      </w:r>
      <w:r w:rsidR="00727112" w:rsidRPr="00400AEF">
        <w:rPr>
          <w:b/>
          <w:lang w:val="en-US"/>
        </w:rPr>
        <w:t>of King James II: The first En</w:t>
      </w:r>
      <w:r w:rsidR="009A1A2B">
        <w:rPr>
          <w:b/>
          <w:lang w:val="en-US"/>
        </w:rPr>
        <w:t>glish E</w:t>
      </w:r>
      <w:r w:rsidR="00727112" w:rsidRPr="00400AEF">
        <w:rPr>
          <w:b/>
          <w:lang w:val="en-US"/>
        </w:rPr>
        <w:t xml:space="preserve">dition of Manuel </w:t>
      </w:r>
      <w:proofErr w:type="spellStart"/>
      <w:r w:rsidR="00727112" w:rsidRPr="00400AEF">
        <w:rPr>
          <w:b/>
          <w:lang w:val="en-US"/>
        </w:rPr>
        <w:t>Álvares</w:t>
      </w:r>
      <w:proofErr w:type="spellEnd"/>
      <w:r w:rsidR="00727112" w:rsidRPr="00400AEF">
        <w:rPr>
          <w:b/>
          <w:lang w:val="en-US"/>
        </w:rPr>
        <w:t xml:space="preserve">’ Latin Grammar (1686-1687) </w:t>
      </w:r>
      <w:r w:rsidR="00727112" w:rsidRPr="00400AEF">
        <w:rPr>
          <w:lang w:val="en-US"/>
        </w:rPr>
        <w:t>(</w:t>
      </w:r>
      <w:r w:rsidR="00727112" w:rsidRPr="00400AEF">
        <w:rPr>
          <w:bCs/>
          <w:i/>
        </w:rPr>
        <w:t>Rolf Kemmler</w:t>
      </w:r>
      <w:r w:rsidR="00727112" w:rsidRPr="00400AEF">
        <w:rPr>
          <w:bCs/>
        </w:rPr>
        <w:t xml:space="preserve">, </w:t>
      </w:r>
      <w:proofErr w:type="spellStart"/>
      <w:r w:rsidR="00727112" w:rsidRPr="00400AEF">
        <w:rPr>
          <w:bCs/>
        </w:rPr>
        <w:t>Universidade</w:t>
      </w:r>
      <w:proofErr w:type="spellEnd"/>
      <w:r w:rsidR="00727112" w:rsidRPr="00400AEF">
        <w:rPr>
          <w:bCs/>
        </w:rPr>
        <w:t xml:space="preserve"> de </w:t>
      </w:r>
      <w:proofErr w:type="spellStart"/>
      <w:r w:rsidR="00727112" w:rsidRPr="00400AEF">
        <w:rPr>
          <w:bCs/>
        </w:rPr>
        <w:t>Trás</w:t>
      </w:r>
      <w:proofErr w:type="spellEnd"/>
      <w:r w:rsidR="00727112" w:rsidRPr="00400AEF">
        <w:rPr>
          <w:bCs/>
        </w:rPr>
        <w:t>-</w:t>
      </w:r>
      <w:proofErr w:type="spellStart"/>
      <w:r w:rsidR="00727112" w:rsidRPr="00400AEF">
        <w:rPr>
          <w:bCs/>
        </w:rPr>
        <w:t>os</w:t>
      </w:r>
      <w:proofErr w:type="spellEnd"/>
      <w:r w:rsidR="00727112" w:rsidRPr="00400AEF">
        <w:rPr>
          <w:bCs/>
        </w:rPr>
        <w:t>-Montes e Alto Douro; Vila Real, PORTUGAL)</w:t>
      </w:r>
    </w:p>
    <w:p w14:paraId="2C39C195" w14:textId="77777777" w:rsidR="00727112" w:rsidRPr="00400AEF" w:rsidRDefault="00147402" w:rsidP="00400AEF">
      <w:pPr>
        <w:spacing w:after="120" w:line="240" w:lineRule="auto"/>
        <w:ind w:left="720" w:hanging="720"/>
        <w:rPr>
          <w:lang w:val="nl-NL"/>
        </w:rPr>
      </w:pPr>
      <w:r w:rsidRPr="00400AEF">
        <w:t>10</w:t>
      </w:r>
      <w:r w:rsidR="00EA0D14" w:rsidRPr="00400AEF">
        <w:t>15</w:t>
      </w:r>
      <w:r w:rsidR="00DD5F37" w:rsidRPr="00400AEF">
        <w:tab/>
      </w:r>
      <w:r w:rsidR="00400AEF">
        <w:rPr>
          <w:b/>
          <w:lang w:val="nl-NL"/>
        </w:rPr>
        <w:t>Death of a P</w:t>
      </w:r>
      <w:r w:rsidR="00727112" w:rsidRPr="00400AEF">
        <w:rPr>
          <w:b/>
          <w:lang w:val="nl-NL"/>
        </w:rPr>
        <w:t>urist</w:t>
      </w:r>
      <w:r w:rsidR="00727112" w:rsidRPr="00400AEF">
        <w:rPr>
          <w:lang w:val="nl-NL"/>
        </w:rPr>
        <w:t xml:space="preserve"> </w:t>
      </w:r>
      <w:r w:rsidR="00400AEF">
        <w:rPr>
          <w:lang w:val="nl-NL"/>
        </w:rPr>
        <w:t>(</w:t>
      </w:r>
      <w:r w:rsidR="00727112" w:rsidRPr="00400AEF">
        <w:rPr>
          <w:i/>
          <w:lang w:val="nl-NL"/>
        </w:rPr>
        <w:t>Camiel Hamans</w:t>
      </w:r>
      <w:r w:rsidR="00400AEF">
        <w:rPr>
          <w:lang w:val="nl-NL"/>
        </w:rPr>
        <w:t xml:space="preserve">, </w:t>
      </w:r>
      <w:r w:rsidR="00727112" w:rsidRPr="00400AEF">
        <w:rPr>
          <w:lang w:val="nl-NL"/>
        </w:rPr>
        <w:t>University of Amsterdam</w:t>
      </w:r>
      <w:r w:rsidR="00400AEF">
        <w:rPr>
          <w:lang w:val="nl-NL"/>
        </w:rPr>
        <w:t>, THE NETHERLANDS)</w:t>
      </w:r>
    </w:p>
    <w:p w14:paraId="3EC43444" w14:textId="77777777" w:rsidR="00793D3D" w:rsidRPr="00400AEF" w:rsidRDefault="00793D3D" w:rsidP="00400AEF">
      <w:pPr>
        <w:pStyle w:val="BodyText"/>
        <w:suppressAutoHyphens w:val="0"/>
        <w:ind w:left="720" w:right="0" w:hanging="720"/>
        <w:jc w:val="left"/>
        <w:rPr>
          <w:rFonts w:asciiTheme="minorHAnsi" w:hAnsiTheme="minorHAnsi"/>
          <w:sz w:val="22"/>
          <w:szCs w:val="22"/>
        </w:rPr>
      </w:pPr>
      <w:r w:rsidRPr="00400AEF">
        <w:rPr>
          <w:rFonts w:asciiTheme="minorHAnsi" w:hAnsiTheme="minorHAnsi"/>
          <w:sz w:val="22"/>
          <w:szCs w:val="22"/>
          <w:lang w:val="nl-NL"/>
        </w:rPr>
        <w:t>1045</w:t>
      </w:r>
      <w:r w:rsidRPr="00400AEF">
        <w:rPr>
          <w:rFonts w:asciiTheme="minorHAnsi" w:hAnsiTheme="minorHAnsi"/>
          <w:sz w:val="22"/>
          <w:szCs w:val="22"/>
          <w:lang w:val="nl-NL"/>
        </w:rPr>
        <w:tab/>
      </w:r>
      <w:r w:rsidRPr="00400AEF">
        <w:rPr>
          <w:rFonts w:asciiTheme="minorHAnsi" w:hAnsiTheme="minorHAnsi"/>
          <w:b/>
          <w:sz w:val="22"/>
          <w:szCs w:val="22"/>
        </w:rPr>
        <w:t>Quelques aspects de la syntaxe dans les grammaires de l’italien et du français (XVII</w:t>
      </w:r>
      <w:r w:rsidRPr="00400AEF">
        <w:rPr>
          <w:rFonts w:asciiTheme="minorHAnsi" w:hAnsiTheme="minorHAnsi"/>
          <w:b/>
          <w:sz w:val="22"/>
          <w:szCs w:val="22"/>
          <w:vertAlign w:val="superscript"/>
        </w:rPr>
        <w:t>e</w:t>
      </w:r>
      <w:r w:rsidRPr="00400AEF">
        <w:rPr>
          <w:rFonts w:asciiTheme="minorHAnsi" w:hAnsiTheme="minorHAnsi"/>
          <w:b/>
          <w:sz w:val="22"/>
          <w:szCs w:val="22"/>
        </w:rPr>
        <w:t>-XIX</w:t>
      </w:r>
      <w:r w:rsidRPr="00400AEF">
        <w:rPr>
          <w:rFonts w:asciiTheme="minorHAnsi" w:hAnsiTheme="minorHAnsi"/>
          <w:b/>
          <w:sz w:val="22"/>
          <w:szCs w:val="22"/>
          <w:vertAlign w:val="superscript"/>
        </w:rPr>
        <w:t>e</w:t>
      </w:r>
      <w:r w:rsidRPr="00400AEF">
        <w:rPr>
          <w:rFonts w:asciiTheme="minorHAnsi" w:hAnsiTheme="minorHAnsi"/>
          <w:b/>
          <w:sz w:val="22"/>
          <w:szCs w:val="22"/>
        </w:rPr>
        <w:t xml:space="preserve"> siècle)</w:t>
      </w:r>
      <w:r w:rsidRPr="00400AEF">
        <w:rPr>
          <w:rFonts w:asciiTheme="minorHAnsi" w:eastAsia="MS Mincho" w:hAnsiTheme="minorHAnsi"/>
          <w:sz w:val="22"/>
          <w:szCs w:val="22"/>
        </w:rPr>
        <w:t xml:space="preserve"> (</w:t>
      </w:r>
      <w:r w:rsidRPr="00400AEF">
        <w:rPr>
          <w:rFonts w:asciiTheme="minorHAnsi" w:eastAsia="MS Mincho" w:hAnsiTheme="minorHAnsi"/>
          <w:i/>
          <w:sz w:val="22"/>
          <w:szCs w:val="22"/>
        </w:rPr>
        <w:t>Norma Romanelli</w:t>
      </w:r>
      <w:r w:rsidRPr="00400AEF">
        <w:rPr>
          <w:rFonts w:asciiTheme="minorHAnsi" w:eastAsia="MS Mincho" w:hAnsiTheme="minorHAnsi"/>
          <w:sz w:val="22"/>
          <w:szCs w:val="22"/>
        </w:rPr>
        <w:t xml:space="preserve">, </w:t>
      </w:r>
      <w:r w:rsidRPr="00400AEF">
        <w:rPr>
          <w:rFonts w:asciiTheme="minorHAnsi" w:hAnsiTheme="minorHAnsi"/>
          <w:sz w:val="22"/>
          <w:szCs w:val="22"/>
        </w:rPr>
        <w:t>Université de Paris Diderot, F</w:t>
      </w:r>
      <w:r w:rsidR="00400AEF">
        <w:rPr>
          <w:rFonts w:asciiTheme="minorHAnsi" w:hAnsiTheme="minorHAnsi"/>
          <w:sz w:val="22"/>
          <w:szCs w:val="22"/>
        </w:rPr>
        <w:t>RANCE</w:t>
      </w:r>
      <w:r w:rsidRPr="00400AEF">
        <w:rPr>
          <w:rFonts w:asciiTheme="minorHAnsi" w:hAnsiTheme="minorHAnsi"/>
          <w:sz w:val="22"/>
          <w:szCs w:val="22"/>
        </w:rPr>
        <w:t>)</w:t>
      </w:r>
    </w:p>
    <w:p w14:paraId="0815E4F4" w14:textId="77777777" w:rsidR="00147402" w:rsidRPr="00400AEF" w:rsidRDefault="00147402" w:rsidP="00400AEF">
      <w:pPr>
        <w:spacing w:after="120" w:line="240" w:lineRule="auto"/>
        <w:ind w:left="720" w:hanging="720"/>
        <w:jc w:val="center"/>
      </w:pPr>
      <w:r w:rsidRPr="00400AEF">
        <w:t>11</w:t>
      </w:r>
      <w:r w:rsidR="00EA0D14" w:rsidRPr="00400AEF">
        <w:t>15</w:t>
      </w:r>
      <w:r w:rsidRPr="00400AEF">
        <w:tab/>
        <w:t>Break</w:t>
      </w:r>
    </w:p>
    <w:p w14:paraId="4AFD2CB9" w14:textId="77777777" w:rsidR="009A1A2B" w:rsidRDefault="009A1A2B" w:rsidP="00400AEF">
      <w:pPr>
        <w:autoSpaceDE w:val="0"/>
        <w:autoSpaceDN w:val="0"/>
        <w:adjustRightInd w:val="0"/>
        <w:spacing w:after="120" w:line="240" w:lineRule="auto"/>
        <w:ind w:left="720" w:hanging="720"/>
      </w:pPr>
    </w:p>
    <w:p w14:paraId="6DA98501" w14:textId="77777777" w:rsidR="00EA0D14" w:rsidRPr="00400AEF" w:rsidRDefault="00147402" w:rsidP="00400AEF">
      <w:pPr>
        <w:autoSpaceDE w:val="0"/>
        <w:autoSpaceDN w:val="0"/>
        <w:adjustRightInd w:val="0"/>
        <w:spacing w:after="120" w:line="240" w:lineRule="auto"/>
        <w:ind w:left="720" w:hanging="720"/>
        <w:rPr>
          <w:rFonts w:cs="Montserrat-Italic"/>
          <w:i/>
          <w:iCs/>
        </w:rPr>
      </w:pPr>
      <w:r w:rsidRPr="00400AEF">
        <w:t>11</w:t>
      </w:r>
      <w:r w:rsidR="00EA0D14" w:rsidRPr="00400AEF">
        <w:t>30</w:t>
      </w:r>
      <w:r w:rsidR="00EA0D14" w:rsidRPr="00400AEF">
        <w:tab/>
      </w:r>
      <w:r w:rsidR="00400AEF" w:rsidRPr="00400AEF">
        <w:rPr>
          <w:b/>
        </w:rPr>
        <w:t>Prolegomena to the Study of Anonymous Carolingian Tracts on the Letters of the Alphabet</w:t>
      </w:r>
      <w:r w:rsidR="00400AEF">
        <w:t xml:space="preserve"> </w:t>
      </w:r>
      <w:r w:rsidR="00400AEF">
        <w:rPr>
          <w:rFonts w:cs="Montserrat-Medium"/>
        </w:rPr>
        <w:t>(</w:t>
      </w:r>
      <w:r w:rsidR="00727112" w:rsidRPr="00400AEF">
        <w:rPr>
          <w:rFonts w:cs="Montserrat-Italic"/>
          <w:i/>
          <w:iCs/>
        </w:rPr>
        <w:t xml:space="preserve">Victoria </w:t>
      </w:r>
      <w:proofErr w:type="spellStart"/>
      <w:r w:rsidR="00727112" w:rsidRPr="00400AEF">
        <w:rPr>
          <w:rFonts w:cs="Montserrat-Italic"/>
          <w:i/>
          <w:iCs/>
        </w:rPr>
        <w:t>Krivoshchekova</w:t>
      </w:r>
      <w:proofErr w:type="spellEnd"/>
      <w:r w:rsidR="00400AEF">
        <w:rPr>
          <w:rFonts w:cs="Montserrat-Italic"/>
          <w:iCs/>
        </w:rPr>
        <w:t>,</w:t>
      </w:r>
      <w:r w:rsidR="00727112" w:rsidRPr="00400AEF">
        <w:rPr>
          <w:rFonts w:cs="Montserrat-Italic"/>
          <w:i/>
          <w:iCs/>
        </w:rPr>
        <w:t xml:space="preserve"> </w:t>
      </w:r>
      <w:r w:rsidR="00727112" w:rsidRPr="00400AEF">
        <w:rPr>
          <w:rFonts w:cs="Montserrat-Italic"/>
          <w:iCs/>
        </w:rPr>
        <w:t>Maynooth University</w:t>
      </w:r>
      <w:r w:rsidR="00400AEF">
        <w:rPr>
          <w:rFonts w:cs="Montserrat-Italic"/>
          <w:iCs/>
        </w:rPr>
        <w:t>, IRELAND)</w:t>
      </w:r>
    </w:p>
    <w:p w14:paraId="1B60625D" w14:textId="77777777" w:rsidR="00EA0D14" w:rsidRPr="009A1A2B" w:rsidRDefault="00147402" w:rsidP="00400AEF">
      <w:pPr>
        <w:pStyle w:val="Default"/>
        <w:spacing w:after="120"/>
        <w:ind w:left="720" w:hanging="720"/>
        <w:rPr>
          <w:rFonts w:asciiTheme="minorHAnsi" w:hAnsiTheme="minorHAnsi"/>
          <w:color w:val="auto"/>
          <w:sz w:val="22"/>
          <w:szCs w:val="22"/>
        </w:rPr>
      </w:pPr>
      <w:r w:rsidRPr="00400AEF">
        <w:rPr>
          <w:rFonts w:asciiTheme="minorHAnsi" w:hAnsiTheme="minorHAnsi"/>
          <w:sz w:val="22"/>
          <w:szCs w:val="22"/>
        </w:rPr>
        <w:t>12</w:t>
      </w:r>
      <w:r w:rsidR="00EA0D14" w:rsidRPr="00400AEF">
        <w:rPr>
          <w:rFonts w:asciiTheme="minorHAnsi" w:hAnsiTheme="minorHAnsi"/>
          <w:sz w:val="22"/>
          <w:szCs w:val="22"/>
        </w:rPr>
        <w:t>00</w:t>
      </w:r>
      <w:r w:rsidR="00EA0D14" w:rsidRPr="00400AEF">
        <w:rPr>
          <w:rFonts w:asciiTheme="minorHAnsi" w:hAnsiTheme="minorHAnsi"/>
          <w:sz w:val="22"/>
          <w:szCs w:val="22"/>
        </w:rPr>
        <w:tab/>
      </w:r>
      <w:r w:rsidR="009A1A2B" w:rsidRPr="009A1A2B">
        <w:rPr>
          <w:rFonts w:asciiTheme="minorHAnsi" w:hAnsiTheme="minorHAnsi"/>
          <w:b/>
          <w:color w:val="auto"/>
          <w:sz w:val="22"/>
          <w:szCs w:val="22"/>
        </w:rPr>
        <w:t>Cornish Lexicography: From Antiquarian Documentation to Language R</w:t>
      </w:r>
      <w:r w:rsidR="00400AEF" w:rsidRPr="009A1A2B">
        <w:rPr>
          <w:rFonts w:asciiTheme="minorHAnsi" w:hAnsiTheme="minorHAnsi"/>
          <w:b/>
          <w:color w:val="auto"/>
          <w:sz w:val="22"/>
          <w:szCs w:val="22"/>
        </w:rPr>
        <w:t>evival</w:t>
      </w:r>
      <w:r w:rsidR="00400AEF" w:rsidRPr="009A1A2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400AEF" w:rsidRPr="009A1A2B">
        <w:rPr>
          <w:rFonts w:asciiTheme="minorHAnsi" w:hAnsiTheme="minorHAnsi"/>
          <w:i/>
          <w:color w:val="auto"/>
          <w:sz w:val="22"/>
          <w:szCs w:val="22"/>
        </w:rPr>
        <w:t>Jon Mills</w:t>
      </w:r>
      <w:r w:rsidR="00400AEF" w:rsidRPr="009A1A2B">
        <w:rPr>
          <w:rFonts w:asciiTheme="minorHAnsi" w:hAnsiTheme="minorHAnsi"/>
          <w:color w:val="auto"/>
          <w:sz w:val="22"/>
          <w:szCs w:val="22"/>
        </w:rPr>
        <w:t>, University of Kent, UK)</w:t>
      </w:r>
    </w:p>
    <w:p w14:paraId="5BAA4BF2" w14:textId="77777777" w:rsidR="00EA0D14" w:rsidRPr="00400AEF" w:rsidRDefault="00EA0D14" w:rsidP="00400AEF">
      <w:pPr>
        <w:pStyle w:val="Default"/>
        <w:spacing w:after="120"/>
        <w:ind w:left="720" w:hanging="720"/>
        <w:rPr>
          <w:rFonts w:asciiTheme="minorHAnsi" w:hAnsiTheme="minorHAnsi" w:cs="Times New Roman"/>
          <w:sz w:val="22"/>
          <w:szCs w:val="22"/>
        </w:rPr>
      </w:pPr>
      <w:r w:rsidRPr="00400AEF">
        <w:rPr>
          <w:rFonts w:asciiTheme="minorHAnsi" w:hAnsiTheme="minorHAnsi"/>
          <w:sz w:val="22"/>
          <w:szCs w:val="22"/>
        </w:rPr>
        <w:t>1230</w:t>
      </w:r>
      <w:r w:rsidRPr="00400AEF">
        <w:rPr>
          <w:rFonts w:asciiTheme="minorHAnsi" w:hAnsiTheme="minorHAnsi"/>
          <w:sz w:val="22"/>
          <w:szCs w:val="22"/>
        </w:rPr>
        <w:tab/>
      </w:r>
      <w:r w:rsidR="00400AEF" w:rsidRPr="009A1A2B">
        <w:rPr>
          <w:rFonts w:asciiTheme="minorHAnsi" w:hAnsiTheme="minorHAnsi" w:cs="Times New Roman"/>
          <w:b/>
          <w:sz w:val="22"/>
          <w:szCs w:val="22"/>
        </w:rPr>
        <w:t xml:space="preserve">The </w:t>
      </w:r>
      <w:r w:rsidR="009A1A2B" w:rsidRPr="009A1A2B">
        <w:rPr>
          <w:rFonts w:asciiTheme="minorHAnsi" w:hAnsiTheme="minorHAnsi" w:cs="Times New Roman"/>
          <w:b/>
          <w:sz w:val="22"/>
          <w:szCs w:val="22"/>
        </w:rPr>
        <w:t>C</w:t>
      </w:r>
      <w:r w:rsidR="00400AEF" w:rsidRPr="009A1A2B">
        <w:rPr>
          <w:rFonts w:asciiTheme="minorHAnsi" w:hAnsiTheme="minorHAnsi" w:cs="Times New Roman"/>
          <w:b/>
          <w:sz w:val="22"/>
          <w:szCs w:val="22"/>
        </w:rPr>
        <w:t xml:space="preserve">onfessional </w:t>
      </w:r>
      <w:r w:rsidR="009A1A2B" w:rsidRPr="009A1A2B">
        <w:rPr>
          <w:rFonts w:asciiTheme="minorHAnsi" w:hAnsiTheme="minorHAnsi" w:cs="Times New Roman"/>
          <w:b/>
          <w:sz w:val="22"/>
          <w:szCs w:val="22"/>
        </w:rPr>
        <w:t>Sciences: Scientific Lexicography and S</w:t>
      </w:r>
      <w:r w:rsidR="00400AEF" w:rsidRPr="009A1A2B">
        <w:rPr>
          <w:rFonts w:asciiTheme="minorHAnsi" w:hAnsiTheme="minorHAnsi" w:cs="Times New Roman"/>
          <w:b/>
          <w:sz w:val="22"/>
          <w:szCs w:val="22"/>
        </w:rPr>
        <w:t xml:space="preserve">exology in the </w:t>
      </w:r>
      <w:r w:rsidR="00400AEF" w:rsidRPr="009A1A2B">
        <w:rPr>
          <w:rFonts w:asciiTheme="minorHAnsi" w:hAnsiTheme="minorHAnsi" w:cs="Times New Roman"/>
          <w:b/>
          <w:i/>
          <w:iCs/>
          <w:sz w:val="22"/>
          <w:szCs w:val="22"/>
        </w:rPr>
        <w:t>Oxford English Dictionary</w:t>
      </w:r>
      <w:r w:rsidR="00400AEF" w:rsidRPr="00400AEF">
        <w:rPr>
          <w:rFonts w:asciiTheme="minorHAnsi" w:hAnsiTheme="minorHAnsi"/>
          <w:sz w:val="22"/>
          <w:szCs w:val="22"/>
        </w:rPr>
        <w:t xml:space="preserve"> </w:t>
      </w:r>
      <w:r w:rsidR="009A1A2B">
        <w:rPr>
          <w:rFonts w:asciiTheme="minorHAnsi" w:hAnsiTheme="minorHAnsi"/>
          <w:sz w:val="22"/>
          <w:szCs w:val="22"/>
        </w:rPr>
        <w:t>(</w:t>
      </w:r>
      <w:r w:rsidR="00400AEF" w:rsidRPr="009A1A2B">
        <w:rPr>
          <w:rFonts w:asciiTheme="minorHAnsi" w:hAnsiTheme="minorHAnsi"/>
          <w:i/>
          <w:sz w:val="22"/>
          <w:szCs w:val="22"/>
        </w:rPr>
        <w:t>Stephen Turton</w:t>
      </w:r>
      <w:r w:rsidR="00400AEF" w:rsidRPr="00400AEF">
        <w:rPr>
          <w:rFonts w:asciiTheme="minorHAnsi" w:hAnsiTheme="minorHAnsi"/>
          <w:sz w:val="22"/>
          <w:szCs w:val="22"/>
        </w:rPr>
        <w:t>, University of Oxford, UK</w:t>
      </w:r>
      <w:r w:rsidR="009A1A2B">
        <w:rPr>
          <w:rFonts w:asciiTheme="minorHAnsi" w:hAnsiTheme="minorHAnsi"/>
          <w:sz w:val="22"/>
          <w:szCs w:val="22"/>
        </w:rPr>
        <w:t>)</w:t>
      </w:r>
    </w:p>
    <w:p w14:paraId="2F306BAA" w14:textId="77777777" w:rsidR="00147402" w:rsidRDefault="00EA0D14" w:rsidP="009A1A2B">
      <w:pPr>
        <w:spacing w:after="120" w:line="240" w:lineRule="auto"/>
        <w:ind w:left="720" w:hanging="720"/>
        <w:jc w:val="center"/>
      </w:pPr>
      <w:r w:rsidRPr="00400AEF">
        <w:t>1300</w:t>
      </w:r>
      <w:r w:rsidR="00147402" w:rsidRPr="00400AEF">
        <w:tab/>
        <w:t>Lunch</w:t>
      </w:r>
    </w:p>
    <w:p w14:paraId="6F9F300C" w14:textId="77777777" w:rsidR="00147402" w:rsidRPr="00400AEF" w:rsidRDefault="00EA0D14" w:rsidP="009A1A2B">
      <w:pPr>
        <w:spacing w:after="120" w:line="240" w:lineRule="auto"/>
        <w:ind w:left="720" w:hanging="720"/>
        <w:jc w:val="center"/>
      </w:pPr>
      <w:r w:rsidRPr="00400AEF">
        <w:t>1345</w:t>
      </w:r>
      <w:r w:rsidR="00147402" w:rsidRPr="00400AEF">
        <w:tab/>
      </w:r>
      <w:r w:rsidR="009A1A2B">
        <w:t>Annual General Meeting</w:t>
      </w:r>
    </w:p>
    <w:p w14:paraId="49032DA7" w14:textId="77777777" w:rsidR="009A1A2B" w:rsidRDefault="009A1A2B" w:rsidP="00400AEF">
      <w:pPr>
        <w:spacing w:after="120" w:line="240" w:lineRule="auto"/>
        <w:ind w:left="720" w:hanging="720"/>
      </w:pPr>
    </w:p>
    <w:p w14:paraId="19FB2BB9" w14:textId="77777777" w:rsidR="00400AEF" w:rsidRPr="00400AEF" w:rsidRDefault="00147402" w:rsidP="00400AEF">
      <w:pPr>
        <w:spacing w:after="120" w:line="240" w:lineRule="auto"/>
        <w:ind w:left="720" w:hanging="720"/>
      </w:pPr>
      <w:r w:rsidRPr="00400AEF">
        <w:t>14</w:t>
      </w:r>
      <w:r w:rsidR="00EA0D14" w:rsidRPr="00400AEF">
        <w:t>15</w:t>
      </w:r>
      <w:r w:rsidRPr="00400AEF">
        <w:tab/>
      </w:r>
      <w:r w:rsidR="00400AEF" w:rsidRPr="00400AEF">
        <w:rPr>
          <w:b/>
        </w:rPr>
        <w:t>High-Prestige and Low-Prestige Languages in 19</w:t>
      </w:r>
      <w:r w:rsidR="00400AEF" w:rsidRPr="00400AEF">
        <w:rPr>
          <w:b/>
          <w:vertAlign w:val="superscript"/>
        </w:rPr>
        <w:t>th</w:t>
      </w:r>
      <w:r w:rsidR="00400AEF" w:rsidRPr="00400AEF">
        <w:rPr>
          <w:b/>
        </w:rPr>
        <w:t>-Century Comparative Philology</w:t>
      </w:r>
      <w:r w:rsidR="009A1A2B">
        <w:t xml:space="preserve"> (</w:t>
      </w:r>
      <w:r w:rsidR="009A1A2B" w:rsidRPr="009A1A2B">
        <w:rPr>
          <w:i/>
        </w:rPr>
        <w:t xml:space="preserve">Floris </w:t>
      </w:r>
      <w:proofErr w:type="spellStart"/>
      <w:r w:rsidR="009A1A2B" w:rsidRPr="009A1A2B">
        <w:rPr>
          <w:i/>
        </w:rPr>
        <w:t>Solleveld</w:t>
      </w:r>
      <w:proofErr w:type="spellEnd"/>
      <w:r w:rsidR="009A1A2B">
        <w:t xml:space="preserve">, </w:t>
      </w:r>
      <w:r w:rsidR="00400AEF" w:rsidRPr="00400AEF">
        <w:t>KU Leuven</w:t>
      </w:r>
      <w:r w:rsidR="009A1A2B">
        <w:t>, BELGIUM</w:t>
      </w:r>
      <w:r w:rsidR="00400AEF" w:rsidRPr="00400AEF">
        <w:t>)</w:t>
      </w:r>
    </w:p>
    <w:p w14:paraId="53C919B2" w14:textId="77777777" w:rsidR="00147402" w:rsidRPr="00400AEF" w:rsidRDefault="00147402" w:rsidP="00400AEF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NewRomanPS-BoldMT"/>
          <w:b/>
          <w:bCs/>
        </w:rPr>
      </w:pPr>
      <w:r w:rsidRPr="00400AEF">
        <w:t>14</w:t>
      </w:r>
      <w:r w:rsidR="00EA0D14" w:rsidRPr="00400AEF">
        <w:t>45</w:t>
      </w:r>
      <w:r w:rsidR="00DD5F37" w:rsidRPr="00400AEF">
        <w:tab/>
      </w:r>
      <w:r w:rsidR="00400AEF" w:rsidRPr="009A1A2B">
        <w:rPr>
          <w:rFonts w:cs="TimesNewRomanPS-BoldItalicMT"/>
          <w:b/>
          <w:bCs/>
          <w:iCs/>
        </w:rPr>
        <w:t>Verner’s Law in Italy</w:t>
      </w:r>
      <w:r w:rsidR="00400AEF" w:rsidRPr="00400AEF">
        <w:rPr>
          <w:rFonts w:cs="TimesNewRomanPS-BoldItalicMT"/>
          <w:b/>
          <w:bCs/>
          <w:i/>
          <w:iCs/>
        </w:rPr>
        <w:t xml:space="preserve"> </w:t>
      </w:r>
      <w:r w:rsidR="00400AEF" w:rsidRPr="00400AEF">
        <w:rPr>
          <w:rFonts w:cs="TimesNewRomanPS-BoldMT"/>
          <w:b/>
          <w:bCs/>
        </w:rPr>
        <w:t>(and Greece)</w:t>
      </w:r>
      <w:r w:rsidR="009A1A2B">
        <w:rPr>
          <w:rFonts w:cs="TimesNewRomanPS-BoldMT"/>
          <w:b/>
          <w:bCs/>
        </w:rPr>
        <w:t>,</w:t>
      </w:r>
      <w:r w:rsidR="00400AEF" w:rsidRPr="00400AEF">
        <w:rPr>
          <w:rFonts w:cs="TimesNewRomanPS-BoldMT"/>
          <w:b/>
          <w:bCs/>
        </w:rPr>
        <w:t xml:space="preserve"> </w:t>
      </w:r>
      <w:r w:rsidR="009A1A2B">
        <w:rPr>
          <w:rFonts w:cs="TimesNewRomanPS-BoldMT"/>
          <w:b/>
          <w:bCs/>
        </w:rPr>
        <w:t>A History of M</w:t>
      </w:r>
      <w:r w:rsidR="00400AEF" w:rsidRPr="00400AEF">
        <w:rPr>
          <w:rFonts w:cs="TimesNewRomanPS-BoldMT"/>
          <w:b/>
          <w:bCs/>
        </w:rPr>
        <w:t>istaken – and not-so-mistaken –</w:t>
      </w:r>
      <w:r w:rsidR="009A1A2B">
        <w:rPr>
          <w:rFonts w:cs="TimesNewRomanPS-BoldMT"/>
          <w:b/>
          <w:bCs/>
        </w:rPr>
        <w:t xml:space="preserve"> Applications of a Sound Law </w:t>
      </w:r>
      <w:r w:rsidR="009A1A2B" w:rsidRPr="009A1A2B">
        <w:rPr>
          <w:rFonts w:cs="TimesNewRomanPS-BoldMT"/>
          <w:bCs/>
        </w:rPr>
        <w:t>(</w:t>
      </w:r>
      <w:r w:rsidR="00400AEF" w:rsidRPr="009A1A2B">
        <w:rPr>
          <w:rFonts w:cs="TimesNewRomanPSMT"/>
          <w:i/>
        </w:rPr>
        <w:t xml:space="preserve">Roberto </w:t>
      </w:r>
      <w:proofErr w:type="spellStart"/>
      <w:r w:rsidR="00400AEF" w:rsidRPr="009A1A2B">
        <w:rPr>
          <w:rFonts w:cs="TimesNewRomanPSMT"/>
          <w:i/>
        </w:rPr>
        <w:t>Batisti</w:t>
      </w:r>
      <w:proofErr w:type="spellEnd"/>
      <w:r w:rsidR="009A1A2B">
        <w:rPr>
          <w:rFonts w:cs="TimesNewRomanPSMT"/>
        </w:rPr>
        <w:t>,</w:t>
      </w:r>
      <w:r w:rsidR="00400AEF" w:rsidRPr="00400AEF">
        <w:rPr>
          <w:rFonts w:cs="TimesNewRomanPS-BoldMT"/>
          <w:b/>
          <w:bCs/>
        </w:rPr>
        <w:t xml:space="preserve"> </w:t>
      </w:r>
      <w:proofErr w:type="spellStart"/>
      <w:r w:rsidR="00400AEF" w:rsidRPr="00400AEF">
        <w:rPr>
          <w:rFonts w:cs="TimesNewRomanPSMT"/>
        </w:rPr>
        <w:t>Università</w:t>
      </w:r>
      <w:proofErr w:type="spellEnd"/>
      <w:r w:rsidR="00400AEF" w:rsidRPr="00400AEF">
        <w:rPr>
          <w:rFonts w:cs="TimesNewRomanPSMT"/>
        </w:rPr>
        <w:t xml:space="preserve"> di Bologna</w:t>
      </w:r>
      <w:r w:rsidR="009A1A2B">
        <w:rPr>
          <w:rFonts w:cs="TimesNewRomanPSMT"/>
        </w:rPr>
        <w:t>, ITALY)</w:t>
      </w:r>
    </w:p>
    <w:p w14:paraId="64EB920F" w14:textId="77777777" w:rsidR="00147402" w:rsidRPr="00400AEF" w:rsidRDefault="00147402" w:rsidP="00400AEF">
      <w:pPr>
        <w:autoSpaceDE w:val="0"/>
        <w:autoSpaceDN w:val="0"/>
        <w:adjustRightInd w:val="0"/>
        <w:spacing w:after="120" w:line="240" w:lineRule="auto"/>
        <w:ind w:left="720" w:hanging="720"/>
        <w:rPr>
          <w:rFonts w:cs="Times-Roman"/>
        </w:rPr>
      </w:pPr>
      <w:r w:rsidRPr="00400AEF">
        <w:t>15</w:t>
      </w:r>
      <w:r w:rsidR="00EA0D14" w:rsidRPr="00400AEF">
        <w:t>15</w:t>
      </w:r>
      <w:r w:rsidR="00DD5F37" w:rsidRPr="00400AEF">
        <w:tab/>
      </w:r>
      <w:r w:rsidR="00400AEF" w:rsidRPr="009A1A2B">
        <w:rPr>
          <w:rFonts w:cs="Times-Roman"/>
          <w:b/>
        </w:rPr>
        <w:t xml:space="preserve">The Origin of V1-Conditionals in Germanic: von der </w:t>
      </w:r>
      <w:proofErr w:type="spellStart"/>
      <w:r w:rsidR="00400AEF" w:rsidRPr="009A1A2B">
        <w:rPr>
          <w:rFonts w:cs="Times-Roman"/>
          <w:b/>
        </w:rPr>
        <w:t>Gabelentz</w:t>
      </w:r>
      <w:proofErr w:type="spellEnd"/>
      <w:r w:rsidR="00400AEF" w:rsidRPr="009A1A2B">
        <w:rPr>
          <w:rFonts w:cs="Times-Roman"/>
          <w:b/>
        </w:rPr>
        <w:t xml:space="preserve"> (1875) Meets Construction Grammar </w:t>
      </w:r>
      <w:r w:rsidR="009A1A2B">
        <w:rPr>
          <w:rFonts w:cs="Times-Roman"/>
        </w:rPr>
        <w:t>(</w:t>
      </w:r>
      <w:proofErr w:type="spellStart"/>
      <w:r w:rsidR="009A1A2B" w:rsidRPr="009A1A2B">
        <w:rPr>
          <w:rFonts w:cs="Times-Roman"/>
          <w:i/>
        </w:rPr>
        <w:t>Torsten</w:t>
      </w:r>
      <w:proofErr w:type="spellEnd"/>
      <w:r w:rsidR="009A1A2B" w:rsidRPr="009A1A2B">
        <w:rPr>
          <w:rFonts w:cs="Times-Roman"/>
          <w:i/>
        </w:rPr>
        <w:t xml:space="preserve"> Leuschner</w:t>
      </w:r>
      <w:r w:rsidR="009A1A2B">
        <w:rPr>
          <w:rFonts w:cs="Times-Roman"/>
        </w:rPr>
        <w:t xml:space="preserve">, </w:t>
      </w:r>
      <w:r w:rsidR="00400AEF" w:rsidRPr="00400AEF">
        <w:rPr>
          <w:rFonts w:cs="Times-Roman"/>
        </w:rPr>
        <w:t>Ghent University</w:t>
      </w:r>
      <w:r w:rsidR="009A1A2B">
        <w:rPr>
          <w:rFonts w:cs="Times-Roman"/>
        </w:rPr>
        <w:t>, BELGIUM</w:t>
      </w:r>
      <w:r w:rsidR="00400AEF" w:rsidRPr="00400AEF">
        <w:rPr>
          <w:rFonts w:cs="Times-Roman"/>
        </w:rPr>
        <w:t>/University of York</w:t>
      </w:r>
      <w:r w:rsidR="009A1A2B">
        <w:rPr>
          <w:rFonts w:cs="Times-Roman"/>
        </w:rPr>
        <w:t>, UK)</w:t>
      </w:r>
    </w:p>
    <w:p w14:paraId="3C4F45D5" w14:textId="77777777" w:rsidR="00147402" w:rsidRPr="00400AEF" w:rsidRDefault="00147402" w:rsidP="009A1A2B">
      <w:pPr>
        <w:spacing w:after="120" w:line="240" w:lineRule="auto"/>
        <w:ind w:left="720" w:hanging="720"/>
        <w:jc w:val="center"/>
      </w:pPr>
      <w:r w:rsidRPr="00400AEF">
        <w:t>15</w:t>
      </w:r>
      <w:r w:rsidR="00EA0D14" w:rsidRPr="00400AEF">
        <w:t>45</w:t>
      </w:r>
      <w:r w:rsidRPr="00400AEF">
        <w:tab/>
        <w:t>Break</w:t>
      </w:r>
    </w:p>
    <w:p w14:paraId="4836C3EF" w14:textId="77777777" w:rsidR="009A1A2B" w:rsidRDefault="009A1A2B" w:rsidP="00400AEF">
      <w:pPr>
        <w:spacing w:after="120" w:line="240" w:lineRule="auto"/>
        <w:ind w:left="720" w:hanging="720"/>
      </w:pPr>
    </w:p>
    <w:p w14:paraId="78079391" w14:textId="77777777" w:rsidR="00EA0D14" w:rsidRPr="00400AEF" w:rsidRDefault="00EA0D14" w:rsidP="00400AEF">
      <w:pPr>
        <w:spacing w:after="120" w:line="240" w:lineRule="auto"/>
        <w:ind w:left="720" w:hanging="720"/>
        <w:rPr>
          <w:lang w:val="it-IT"/>
        </w:rPr>
      </w:pPr>
      <w:r w:rsidRPr="00400AEF">
        <w:t>1600</w:t>
      </w:r>
      <w:r w:rsidR="00147402" w:rsidRPr="00400AEF">
        <w:tab/>
      </w:r>
      <w:r w:rsidR="009A1A2B">
        <w:rPr>
          <w:b/>
          <w:bCs/>
          <w:lang w:val="it-IT"/>
        </w:rPr>
        <w:t>D</w:t>
      </w:r>
      <w:r w:rsidR="00112580">
        <w:rPr>
          <w:b/>
          <w:bCs/>
          <w:lang w:val="it-IT"/>
        </w:rPr>
        <w:t>ialogues and Sentences in 19th-C</w:t>
      </w:r>
      <w:r w:rsidR="009A1A2B">
        <w:rPr>
          <w:b/>
          <w:bCs/>
          <w:lang w:val="it-IT"/>
        </w:rPr>
        <w:t>entury Multilingual Conversation Guides: Filiation, Updating and I</w:t>
      </w:r>
      <w:r w:rsidRPr="00400AEF">
        <w:rPr>
          <w:b/>
          <w:bCs/>
          <w:lang w:val="it-IT"/>
        </w:rPr>
        <w:t xml:space="preserve">nnovation </w:t>
      </w:r>
      <w:r w:rsidRPr="00400AEF">
        <w:rPr>
          <w:bCs/>
          <w:lang w:val="it-IT"/>
        </w:rPr>
        <w:t>(</w:t>
      </w:r>
      <w:r w:rsidR="00112580">
        <w:rPr>
          <w:i/>
          <w:lang w:val="it-IT"/>
        </w:rPr>
        <w:t>Monica Lupetti</w:t>
      </w:r>
      <w:r w:rsidRPr="00400AEF">
        <w:rPr>
          <w:rStyle w:val="Richiamoallanotaapidipagina"/>
          <w:i/>
          <w:lang w:val="it-IT"/>
        </w:rPr>
        <w:t xml:space="preserve"> </w:t>
      </w:r>
      <w:r w:rsidRPr="00400AEF">
        <w:rPr>
          <w:i/>
          <w:lang w:val="it-IT"/>
        </w:rPr>
        <w:t>&amp; Marco E.L. Guidi</w:t>
      </w:r>
      <w:r w:rsidRPr="00400AEF">
        <w:rPr>
          <w:rStyle w:val="Richiamoallanotaapidipagina"/>
          <w:vertAlign w:val="subscript"/>
          <w:lang w:val="it-IT"/>
        </w:rPr>
        <w:t>,</w:t>
      </w:r>
      <w:r w:rsidRPr="00400AEF">
        <w:rPr>
          <w:rStyle w:val="Richiamoallanotaapidipagina"/>
          <w:lang w:val="it-IT"/>
        </w:rPr>
        <w:t xml:space="preserve"> </w:t>
      </w:r>
      <w:r w:rsidRPr="00400AEF">
        <w:rPr>
          <w:lang w:val="it-IT"/>
        </w:rPr>
        <w:t>Università di Pisa, ITALY)</w:t>
      </w:r>
    </w:p>
    <w:p w14:paraId="55B52985" w14:textId="77777777" w:rsidR="00EA0D14" w:rsidRPr="00400AEF" w:rsidRDefault="00147402" w:rsidP="00400AEF">
      <w:pPr>
        <w:spacing w:after="120" w:line="240" w:lineRule="auto"/>
        <w:ind w:left="720" w:hanging="720"/>
        <w:rPr>
          <w:rFonts w:cs="Times New Roman"/>
        </w:rPr>
      </w:pPr>
      <w:r w:rsidRPr="00400AEF">
        <w:footnoteReference w:id="1"/>
      </w:r>
      <w:r w:rsidRPr="00400AEF">
        <w:t>16</w:t>
      </w:r>
      <w:r w:rsidR="00EA0D14" w:rsidRPr="00400AEF">
        <w:t>30</w:t>
      </w:r>
      <w:r w:rsidR="00DD5F37" w:rsidRPr="00400AEF">
        <w:tab/>
      </w:r>
      <w:proofErr w:type="spellStart"/>
      <w:r w:rsidR="00EA0D14" w:rsidRPr="009A1A2B">
        <w:rPr>
          <w:rFonts w:cs="Times New Roman"/>
          <w:b/>
        </w:rPr>
        <w:t>T</w:t>
      </w:r>
      <w:r w:rsidR="009A1A2B">
        <w:rPr>
          <w:rFonts w:cs="Times New Roman"/>
          <w:b/>
        </w:rPr>
        <w:t>ullio</w:t>
      </w:r>
      <w:proofErr w:type="spellEnd"/>
      <w:r w:rsidR="009A1A2B">
        <w:rPr>
          <w:rFonts w:cs="Times New Roman"/>
          <w:b/>
        </w:rPr>
        <w:t xml:space="preserve"> De Mauro and the Italian W</w:t>
      </w:r>
      <w:r w:rsidR="00EA0D14" w:rsidRPr="009A1A2B">
        <w:rPr>
          <w:rFonts w:cs="Times New Roman"/>
          <w:b/>
        </w:rPr>
        <w:t>ay to Sociolinguistics</w:t>
      </w:r>
      <w:r w:rsidR="00EA0D14" w:rsidRPr="00400AEF">
        <w:rPr>
          <w:rFonts w:cs="Times New Roman"/>
        </w:rPr>
        <w:t xml:space="preserve"> </w:t>
      </w:r>
      <w:r w:rsidR="00793D3D" w:rsidRPr="00400AEF">
        <w:rPr>
          <w:rFonts w:cs="Times New Roman"/>
        </w:rPr>
        <w:t>(</w:t>
      </w:r>
      <w:r w:rsidR="00EA0D14" w:rsidRPr="00400AEF">
        <w:rPr>
          <w:rFonts w:cs="Times New Roman"/>
          <w:i/>
        </w:rPr>
        <w:t xml:space="preserve">Michela </w:t>
      </w:r>
      <w:proofErr w:type="spellStart"/>
      <w:r w:rsidR="00EA0D14" w:rsidRPr="00400AEF">
        <w:rPr>
          <w:rFonts w:cs="Times New Roman"/>
          <w:i/>
        </w:rPr>
        <w:t>Piattelli</w:t>
      </w:r>
      <w:proofErr w:type="spellEnd"/>
      <w:r w:rsidR="00793D3D" w:rsidRPr="00400AEF">
        <w:rPr>
          <w:rFonts w:cs="Times New Roman"/>
        </w:rPr>
        <w:t xml:space="preserve">, </w:t>
      </w:r>
      <w:r w:rsidR="00112580">
        <w:rPr>
          <w:rFonts w:cs="Times New Roman"/>
        </w:rPr>
        <w:t>Sapienza</w:t>
      </w:r>
      <w:r w:rsidR="00EA0D14" w:rsidRPr="00400AEF">
        <w:rPr>
          <w:rFonts w:cs="Times New Roman"/>
        </w:rPr>
        <w:t xml:space="preserve"> University of Rome</w:t>
      </w:r>
      <w:r w:rsidR="00793D3D" w:rsidRPr="00400AEF">
        <w:rPr>
          <w:rFonts w:cs="Times New Roman"/>
        </w:rPr>
        <w:t>, ITALY)</w:t>
      </w:r>
    </w:p>
    <w:p w14:paraId="2206B94C" w14:textId="77777777" w:rsidR="00112580" w:rsidRDefault="00EA0D14" w:rsidP="00112580">
      <w:pPr>
        <w:spacing w:after="120" w:line="240" w:lineRule="auto"/>
        <w:ind w:left="720" w:hanging="720"/>
        <w:rPr>
          <w:rFonts w:cs="Times New Roman"/>
        </w:rPr>
      </w:pPr>
      <w:r w:rsidRPr="00400AEF">
        <w:t>1700</w:t>
      </w:r>
      <w:r w:rsidR="00DD5F37" w:rsidRPr="00400AEF">
        <w:tab/>
      </w:r>
      <w:r w:rsidR="009A1A2B">
        <w:rPr>
          <w:rFonts w:cs="Times New Roman"/>
          <w:b/>
        </w:rPr>
        <w:t xml:space="preserve">Emile </w:t>
      </w:r>
      <w:proofErr w:type="spellStart"/>
      <w:r w:rsidR="009A1A2B">
        <w:rPr>
          <w:rFonts w:cs="Times New Roman"/>
          <w:b/>
        </w:rPr>
        <w:t>Benveniste’s</w:t>
      </w:r>
      <w:proofErr w:type="spellEnd"/>
      <w:r w:rsidR="009A1A2B">
        <w:rPr>
          <w:rFonts w:cs="Times New Roman"/>
          <w:b/>
        </w:rPr>
        <w:t xml:space="preserve"> Unachieved W</w:t>
      </w:r>
      <w:r w:rsidR="00400AEF" w:rsidRPr="00400AEF">
        <w:rPr>
          <w:rFonts w:cs="Times New Roman"/>
          <w:b/>
        </w:rPr>
        <w:t>riting on of the Theory of Poetic Language in the Light of Semiology</w:t>
      </w:r>
      <w:r w:rsidR="00400AEF" w:rsidRPr="00400AEF">
        <w:rPr>
          <w:rFonts w:cs="Times New Roman"/>
        </w:rPr>
        <w:t xml:space="preserve"> </w:t>
      </w:r>
      <w:r w:rsidR="009A1A2B">
        <w:rPr>
          <w:rFonts w:cs="Times New Roman"/>
        </w:rPr>
        <w:t>(</w:t>
      </w:r>
      <w:r w:rsidR="00400AEF" w:rsidRPr="009A1A2B">
        <w:rPr>
          <w:rFonts w:cs="Times New Roman"/>
          <w:i/>
        </w:rPr>
        <w:t xml:space="preserve">Galina </w:t>
      </w:r>
      <w:proofErr w:type="spellStart"/>
      <w:r w:rsidR="00400AEF" w:rsidRPr="009A1A2B">
        <w:rPr>
          <w:rFonts w:cs="Times New Roman"/>
          <w:i/>
        </w:rPr>
        <w:t>D</w:t>
      </w:r>
      <w:r w:rsidR="009A1A2B" w:rsidRPr="009A1A2B">
        <w:rPr>
          <w:rFonts w:cs="Times New Roman"/>
          <w:i/>
        </w:rPr>
        <w:t>urinova</w:t>
      </w:r>
      <w:proofErr w:type="spellEnd"/>
      <w:r w:rsidR="00400AEF" w:rsidRPr="00400AEF">
        <w:rPr>
          <w:rFonts w:cs="Times New Roman"/>
        </w:rPr>
        <w:t xml:space="preserve">, </w:t>
      </w:r>
      <w:r w:rsidR="00400AEF" w:rsidRPr="009A1A2B">
        <w:rPr>
          <w:rFonts w:cs="Times New Roman"/>
        </w:rPr>
        <w:t>University of Strasb</w:t>
      </w:r>
      <w:r w:rsidR="009A1A2B">
        <w:rPr>
          <w:rFonts w:cs="Times New Roman"/>
        </w:rPr>
        <w:t>o</w:t>
      </w:r>
      <w:r w:rsidR="00400AEF" w:rsidRPr="009A1A2B">
        <w:rPr>
          <w:rFonts w:cs="Times New Roman"/>
        </w:rPr>
        <w:t>urg,</w:t>
      </w:r>
      <w:r w:rsidR="009A1A2B">
        <w:rPr>
          <w:rFonts w:cs="Times New Roman"/>
        </w:rPr>
        <w:t xml:space="preserve"> FRANCE)</w:t>
      </w:r>
    </w:p>
    <w:p w14:paraId="76FF5440" w14:textId="77777777" w:rsidR="00EA0D14" w:rsidRPr="00112580" w:rsidRDefault="00EA0D14" w:rsidP="00112580">
      <w:pPr>
        <w:spacing w:after="120" w:line="240" w:lineRule="auto"/>
        <w:ind w:left="720" w:hanging="720"/>
        <w:jc w:val="center"/>
        <w:rPr>
          <w:rFonts w:cs="Times New Roman"/>
        </w:rPr>
      </w:pPr>
      <w:r w:rsidRPr="009A1A2B">
        <w:rPr>
          <w:b/>
        </w:rPr>
        <w:t>1730</w:t>
      </w:r>
      <w:r w:rsidRPr="009A1A2B">
        <w:rPr>
          <w:b/>
        </w:rPr>
        <w:tab/>
        <w:t>Close</w:t>
      </w:r>
      <w:r w:rsidR="009A1A2B">
        <w:rPr>
          <w:b/>
        </w:rPr>
        <w:t xml:space="preserve"> and Dinner</w:t>
      </w:r>
    </w:p>
    <w:sectPr w:rsidR="00EA0D14" w:rsidRPr="00112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05A61" w14:textId="77777777" w:rsidR="00EA0D14" w:rsidRDefault="00EA0D14" w:rsidP="00EA0D14">
      <w:pPr>
        <w:spacing w:after="0" w:line="240" w:lineRule="auto"/>
      </w:pPr>
      <w:r>
        <w:separator/>
      </w:r>
    </w:p>
  </w:endnote>
  <w:endnote w:type="continuationSeparator" w:id="0">
    <w:p w14:paraId="346F18BC" w14:textId="77777777" w:rsidR="00EA0D14" w:rsidRDefault="00EA0D14" w:rsidP="00EA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00B91" w14:textId="77777777" w:rsidR="00EA0D14" w:rsidRDefault="00EA0D14" w:rsidP="00EA0D14">
      <w:pPr>
        <w:spacing w:after="0" w:line="240" w:lineRule="auto"/>
      </w:pPr>
      <w:r>
        <w:separator/>
      </w:r>
    </w:p>
  </w:footnote>
  <w:footnote w:type="continuationSeparator" w:id="0">
    <w:p w14:paraId="423DEE01" w14:textId="77777777" w:rsidR="00EA0D14" w:rsidRDefault="00EA0D14" w:rsidP="00EA0D14">
      <w:pPr>
        <w:spacing w:after="0" w:line="240" w:lineRule="auto"/>
      </w:pPr>
      <w:r>
        <w:continuationSeparator/>
      </w:r>
    </w:p>
  </w:footnote>
  <w:footnote w:id="1">
    <w:p w14:paraId="30DC2D54" w14:textId="77777777" w:rsidR="00EA0D14" w:rsidRDefault="00EA0D14" w:rsidP="00112580">
      <w:pPr>
        <w:pStyle w:val="FootnoteText"/>
        <w:ind w:left="0" w:firstLine="0"/>
        <w:jc w:val="both"/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02"/>
    <w:rsid w:val="000957B5"/>
    <w:rsid w:val="00112580"/>
    <w:rsid w:val="00147402"/>
    <w:rsid w:val="001A4BF0"/>
    <w:rsid w:val="00400AEF"/>
    <w:rsid w:val="00727112"/>
    <w:rsid w:val="00793D3D"/>
    <w:rsid w:val="009A1A2B"/>
    <w:rsid w:val="00A71C9B"/>
    <w:rsid w:val="00C26EFF"/>
    <w:rsid w:val="00DD5F37"/>
    <w:rsid w:val="00E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6F1E"/>
  <w15:chartTrackingRefBased/>
  <w15:docId w15:val="{BCA26E27-3D2A-4635-A5D2-6C306FC9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D14"/>
    <w:rPr>
      <w:color w:val="0563C1" w:themeColor="hyperlink"/>
      <w:u w:val="single"/>
    </w:rPr>
  </w:style>
  <w:style w:type="paragraph" w:styleId="FootnoteText">
    <w:name w:val="footnote text"/>
    <w:aliases w:val="Fußnotentext Char,Fußnotentext Char Char Char Char Char Char,Char Char Char,Fußnotentext Char Char Char Char Char,Fußnotentext1 Char Char Char,Fußnotentext1 Char Char Char Char,Fußnotentext Char1"/>
    <w:basedOn w:val="Normal"/>
    <w:link w:val="FootnoteTextChar"/>
    <w:semiHidden/>
    <w:unhideWhenUsed/>
    <w:rsid w:val="00EA0D14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FootnoteTextChar">
    <w:name w:val="Footnote Text Char"/>
    <w:aliases w:val="Fußnotentext Char Char1,Fußnotentext Char Char Char Char Char Char Char1,Char Char Char Char1,Fußnotentext Char Char Char Char Char Char2,Fußnotentext1 Char Char Char Char2,Fußnotentext1 Char Char Char Char Char1"/>
    <w:basedOn w:val="DefaultParagraphFont"/>
    <w:link w:val="FootnoteText"/>
    <w:semiHidden/>
    <w:rsid w:val="00EA0D14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customStyle="1" w:styleId="Caratterinotaapidipagina">
    <w:name w:val="Caratteri nota a piè di pagina"/>
    <w:qFormat/>
    <w:rsid w:val="00EA0D14"/>
  </w:style>
  <w:style w:type="character" w:customStyle="1" w:styleId="Richiamoallanotaapidipagina">
    <w:name w:val="Richiamo alla nota a piè di pagina"/>
    <w:rsid w:val="00EA0D14"/>
    <w:rPr>
      <w:vertAlign w:val="superscript"/>
    </w:rPr>
  </w:style>
  <w:style w:type="character" w:customStyle="1" w:styleId="CollegamentoInternet">
    <w:name w:val="Collegamento Internet"/>
    <w:rsid w:val="00EA0D14"/>
    <w:rPr>
      <w:color w:val="000080"/>
      <w:u w:val="single"/>
    </w:rPr>
  </w:style>
  <w:style w:type="paragraph" w:styleId="BodyText">
    <w:name w:val="Body Text"/>
    <w:basedOn w:val="Normal"/>
    <w:link w:val="BodyTextChar"/>
    <w:unhideWhenUsed/>
    <w:rsid w:val="00793D3D"/>
    <w:pPr>
      <w:widowControl w:val="0"/>
      <w:suppressAutoHyphens/>
      <w:spacing w:after="120" w:line="24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793D3D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FootnoteTextChar1">
    <w:name w:val="Footnote Text Char1"/>
    <w:aliases w:val="Fußnotentext Char Char,Fußnotentext Char Char Char Char Char Char Char,Char Char Char Char,Fußnotentext Char Char Char Char Char Char1,Fußnotentext1 Char Char Char Char1,Fußnotentext1 Char Char Char Char Char,Fußnotentext Char1 Char"/>
    <w:semiHidden/>
    <w:locked/>
    <w:rsid w:val="00727112"/>
    <w:rPr>
      <w:rFonts w:ascii="Times New Roman" w:eastAsia="Times New Roman" w:hAnsi="Times New Roman" w:cs="Times New Roman"/>
      <w:sz w:val="18"/>
      <w:szCs w:val="18"/>
      <w:lang w:val="pt-PT" w:eastAsia="de-DE"/>
    </w:rPr>
  </w:style>
  <w:style w:type="character" w:customStyle="1" w:styleId="Caracteresdenotaderodap">
    <w:name w:val="Caracteres de nota de rodapé"/>
    <w:rsid w:val="00727112"/>
    <w:rPr>
      <w:vertAlign w:val="superscript"/>
    </w:rPr>
  </w:style>
  <w:style w:type="character" w:customStyle="1" w:styleId="Funotenzeichen1">
    <w:name w:val="Fußnotenzeichen1"/>
    <w:rsid w:val="00727112"/>
    <w:rPr>
      <w:vertAlign w:val="superscript"/>
    </w:rPr>
  </w:style>
  <w:style w:type="paragraph" w:customStyle="1" w:styleId="Default">
    <w:name w:val="Default"/>
    <w:rsid w:val="00400A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80"/>
  </w:style>
  <w:style w:type="paragraph" w:styleId="Footer">
    <w:name w:val="footer"/>
    <w:basedOn w:val="Normal"/>
    <w:link w:val="FooterChar"/>
    <w:uiPriority w:val="99"/>
    <w:unhideWhenUsed/>
    <w:rsid w:val="00112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af9c297b47771f3e2643e463edbbf78c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d9eb88b80728c6408810ba408e661db7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60500-6F2A-450C-9E4F-811B5B6E9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490AC-2FF0-4342-B97E-0DCDC77FC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01E70-5BB7-48DA-8C76-168666C295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Linn</dc:creator>
  <cp:keywords/>
  <dc:description/>
  <cp:lastModifiedBy>Emma Humphries</cp:lastModifiedBy>
  <cp:revision>2</cp:revision>
  <dcterms:created xsi:type="dcterms:W3CDTF">2020-02-27T14:25:00Z</dcterms:created>
  <dcterms:modified xsi:type="dcterms:W3CDTF">2020-02-27T14:25:00Z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